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09CC99A0">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7C1B3A4">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6F793462">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C33B149">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84F7B56">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3C06C3CD">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pPr>
            <w:hyperlink r:id="rId41" w:tooltip="https://fz44.org/kursy/ekspert-pro-po-tenderam-i-etp-44-223-postavschikam-520-chasov/" w:history="1">
              <w:r>
                <w:rPr>
                  <w:rStyle w:val="187"/>
                  <w:rFonts w:ascii="Liberation Sans" w:hAnsi="Liberation Sans" w:eastAsia="Liberation Sans" w:cs="Liberation Sans"/>
                  <w:b/>
                  <w:color w:val="1e1e1e"/>
                  <w:u w:val="none"/>
                </w:rPr>
                <w:t xml:space="preserve">Эксперт Про по тендерам и работе на ЭТП (44-ФЗ, 223-ФЗ) для поставщиков​ — профпереподготовка с дипломом 520 часов</w:t>
              </w:r>
            </w:hyperlink>
            <w:r/>
          </w:p>
          <w:p w14:paraId="4C9930AE">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pPr>
            <w:hyperlink r:id="rId42" w:tooltip="https://fz44.org/kursy/ekspert-po-tenderam-i-etp-44-223-postavschikam-320-chasov/" w:history="1">
              <w:r>
                <w:rPr>
                  <w:rStyle w:val="187"/>
                  <w:rFonts w:ascii="Liberation Sans" w:hAnsi="Liberation Sans" w:eastAsia="Liberation Sans" w:cs="Liberation Sans"/>
                  <w:b/>
                  <w:color w:val="1e1e1e"/>
                  <w:u w:val="none"/>
                </w:rPr>
              </w:r>
            </w:hyperlink>
            <w:r>
              <w:rPr>
                <w:rFonts w:ascii="Liberation Sans" w:hAnsi="Liberation Sans" w:eastAsia="Liberation Sans" w:cs="Liberation Sans"/>
                <w:sz w:val="30"/>
              </w:rP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73 100 </w:t>
            </w:r>
            <w:r/>
          </w:p>
          <w:p w14:paraId="3EC42B4B">
            <w:pPr>
              <w:pBdr/>
              <w:spacing/>
              <w:ind/>
              <w:jc w:val="center"/>
              <w:rPr/>
            </w:pPr>
            <w:r>
              <w:rPr>
                <w:lang w:val="ru-RU"/>
              </w:rPr>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39 </w:t>
            </w:r>
            <w:r>
              <w:rPr>
                <w:rFonts w:ascii="Arial" w:hAnsi="Arial" w:eastAsia="Arial" w:cs="Arial"/>
                <w:color w:val="00000a"/>
                <w:sz w:val="20"/>
              </w:rPr>
              <w:t xml:space="preserve">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39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73</w:t>
      </w:r>
      <w:r>
        <w:rPr>
          <w:rFonts w:ascii="Arial" w:hAnsi="Arial" w:eastAsia="Arial" w:cs="Arial"/>
          <w:lang w:val="ru-RU"/>
        </w:rPr>
        <w:t xml:space="preserve"> </w:t>
      </w:r>
      <w:r>
        <w:rPr>
          <w:rFonts w:ascii="Arial" w:hAnsi="Arial" w:eastAsia="Arial" w:cs="Arial"/>
          <w:lang w:val="ru-RU"/>
        </w:rPr>
        <w:t xml:space="preserve">100</w:t>
      </w:r>
      <w:r>
        <w:rPr>
          <w:rFonts w:ascii="Arial" w:hAnsi="Arial" w:eastAsia="Arial" w:cs="Arial"/>
        </w:rPr>
        <w:t xml:space="preserve">,00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39</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r>
      <w:r>
        <w:rPr>
          <w:rFonts w:ascii="Arial" w:hAnsi="Arial" w:eastAsia="Arial" w:cs="Arial"/>
          <w:b/>
          <w:bCs/>
          <w:color w:val="00000a"/>
          <w:lang w:val="ru-RU"/>
        </w:rPr>
        <w:t xml:space="preserve">39</w:t>
      </w:r>
      <w:r>
        <w:rPr>
          <w:rFonts w:ascii="Arial" w:hAnsi="Arial" w:eastAsia="Arial" w:cs="Arial"/>
          <w:b/>
          <w:bCs/>
          <w:color w:val="00000a"/>
          <w:lang w:val="ru-RU"/>
        </w:rPr>
        <w:t xml:space="preserve"> </w:t>
      </w:r>
      <w:r>
        <w:rPr>
          <w:rFonts w:ascii="Arial" w:hAnsi="Arial" w:eastAsia="Arial" w:cs="Arial"/>
          <w:b/>
          <w:bCs/>
        </w:rPr>
        <w:t xml:space="preserve">500,00 ₽</w:t>
      </w:r>
      <w:r>
        <w:rPr>
          <w:rFonts w:ascii="Arial" w:hAnsi="Arial" w:eastAsia="Arial" w:cs="Arial"/>
          <w:b/>
          <w:bCs/>
          <w:color w:val="00000a"/>
        </w:rPr>
        <w:t xml:space="preserve"> </w:t>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3"/>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4"/>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3"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4"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ans">
    <w:panose1 w:val="020B0604020202020204"/>
  </w:font>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hyperlink" Target="https://fz44.org/kursy/ekspert-pro-po-tenderam-i-etp-44-223-postavschikam-520-chasov/" TargetMode="External"/><Relationship Id="rId42" Type="http://schemas.openxmlformats.org/officeDocument/2006/relationships/hyperlink" Target="https://fz44.org/kursy/ekspert-po-tenderam-i-etp-44-223-postavschikam-320-chasov/" TargetMode="External"/><Relationship Id="rId43" Type="http://schemas.openxmlformats.org/officeDocument/2006/relationships/image" Target="media/image17.png"/><Relationship Id="rId44"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2026-05-22T11:30:54Z</dcterms:modified>
</cp:coreProperties>
</file>